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34" w:rsidRDefault="00690234" w:rsidP="00690234">
      <w:pPr>
        <w:jc w:val="center"/>
        <w:rPr>
          <w:rFonts w:ascii="Times New Roman" w:hAnsi="Times New Roman"/>
          <w:b/>
          <w:sz w:val="28"/>
        </w:rPr>
      </w:pPr>
      <w:r>
        <w:rPr>
          <w:rFonts w:ascii="Times New Roman" w:hAnsi="Times New Roman" w:hint="eastAsia"/>
          <w:b/>
          <w:sz w:val="28"/>
        </w:rPr>
        <w:t>探寻先哲生命轨迹的行与思</w:t>
      </w:r>
    </w:p>
    <w:p w:rsidR="00E76B8B" w:rsidRDefault="00690234" w:rsidP="00690234">
      <w:pPr>
        <w:jc w:val="center"/>
        <w:rPr>
          <w:rFonts w:ascii="Times New Roman" w:hAnsi="Times New Roman"/>
          <w:b/>
          <w:sz w:val="28"/>
        </w:rPr>
      </w:pPr>
      <w:r w:rsidRPr="00F44A99">
        <w:rPr>
          <w:rFonts w:ascii="Times New Roman" w:hAnsi="Times New Roman" w:hint="eastAsia"/>
          <w:b/>
          <w:sz w:val="28"/>
        </w:rPr>
        <w:t>——哲学系（珠海）</w:t>
      </w:r>
      <w:r w:rsidRPr="00323C76">
        <w:rPr>
          <w:rFonts w:ascii="Times New Roman" w:hAnsi="Times New Roman" w:hint="eastAsia"/>
          <w:b/>
          <w:sz w:val="28"/>
        </w:rPr>
        <w:t>中</w:t>
      </w:r>
      <w:r>
        <w:rPr>
          <w:rFonts w:ascii="Times New Roman" w:hAnsi="Times New Roman" w:hint="eastAsia"/>
          <w:b/>
          <w:sz w:val="28"/>
        </w:rPr>
        <w:t>国哲学现场课堂修习</w:t>
      </w:r>
      <w:r w:rsidR="0071014B">
        <w:rPr>
          <w:rFonts w:ascii="Times New Roman" w:hAnsi="Times New Roman" w:hint="eastAsia"/>
          <w:b/>
          <w:sz w:val="28"/>
        </w:rPr>
        <w:t>教学点简介</w:t>
      </w:r>
    </w:p>
    <w:p w:rsidR="006446EA" w:rsidRDefault="006446EA" w:rsidP="00690234">
      <w:pPr>
        <w:jc w:val="center"/>
        <w:rPr>
          <w:rFonts w:ascii="Times New Roman" w:hAnsi="Times New Roman" w:hint="eastAsia"/>
          <w:b/>
          <w:sz w:val="28"/>
        </w:rPr>
      </w:pPr>
    </w:p>
    <w:p w:rsidR="0071014B" w:rsidRPr="0071014B" w:rsidRDefault="0071014B" w:rsidP="0071014B">
      <w:pPr>
        <w:rPr>
          <w:rFonts w:ascii="Times New Roman" w:eastAsia="仿宋_GB2312" w:hAnsi="Times New Roman"/>
          <w:b/>
          <w:sz w:val="30"/>
        </w:rPr>
      </w:pPr>
      <w:r w:rsidRPr="0071014B">
        <w:rPr>
          <w:rFonts w:ascii="Times New Roman" w:eastAsia="仿宋_GB2312" w:hAnsi="Times New Roman" w:hint="eastAsia"/>
          <w:b/>
          <w:sz w:val="30"/>
        </w:rPr>
        <w:t>寒山寺</w:t>
      </w:r>
      <w:r w:rsidR="006446EA">
        <w:rPr>
          <w:rFonts w:ascii="Times New Roman" w:eastAsia="仿宋_GB2312" w:hAnsi="Times New Roman" w:hint="eastAsia"/>
          <w:b/>
          <w:sz w:val="30"/>
        </w:rPr>
        <w:t>、西园寺</w:t>
      </w:r>
    </w:p>
    <w:p w:rsidR="00690234" w:rsidRDefault="00690234" w:rsidP="00690234">
      <w:pPr>
        <w:ind w:firstLineChars="200" w:firstLine="600"/>
        <w:rPr>
          <w:rFonts w:ascii="Times New Roman" w:eastAsia="仿宋_GB2312" w:hAnsi="Times New Roman"/>
          <w:sz w:val="30"/>
        </w:rPr>
      </w:pPr>
      <w:r>
        <w:rPr>
          <w:rFonts w:ascii="Times New Roman" w:eastAsia="仿宋_GB2312" w:hAnsi="Times New Roman" w:hint="eastAsia"/>
          <w:sz w:val="30"/>
        </w:rPr>
        <w:t>寒山寺为禅宗之临济宗法门重地，历史上多次兴衰，览历史遗迹，知华夏兴衰与文化变迁之一斑。又，该寺自古即为名刹，文人墨客流连之所，今存有</w:t>
      </w:r>
      <w:r w:rsidRPr="00FA6DD4">
        <w:rPr>
          <w:rFonts w:ascii="Times New Roman" w:eastAsia="仿宋_GB2312" w:hAnsi="Times New Roman" w:hint="eastAsia"/>
          <w:sz w:val="30"/>
        </w:rPr>
        <w:t>张继诗的石刻碑文，寒山、拾得的石刻像，文徵明、唐寅所书碑文残片等。</w:t>
      </w:r>
      <w:r>
        <w:rPr>
          <w:rFonts w:ascii="Times New Roman" w:eastAsia="仿宋_GB2312" w:hAnsi="Times New Roman" w:hint="eastAsia"/>
          <w:sz w:val="30"/>
        </w:rPr>
        <w:t>西园寺为吴门律宗重地，对于丰富佛教知识有着特殊的意义。禅宗超妙直指人心，律宗重戒持修行，观览不同的佛教文化，可以增进理解中国宗教文化的丰富性。</w:t>
      </w:r>
    </w:p>
    <w:p w:rsidR="0071014B" w:rsidRPr="0071014B" w:rsidRDefault="0071014B" w:rsidP="0071014B">
      <w:pPr>
        <w:rPr>
          <w:rFonts w:ascii="Times New Roman" w:eastAsia="仿宋_GB2312" w:hAnsi="Times New Roman"/>
          <w:b/>
          <w:sz w:val="30"/>
        </w:rPr>
      </w:pPr>
      <w:r>
        <w:rPr>
          <w:rFonts w:ascii="Times New Roman" w:eastAsia="仿宋_GB2312" w:hAnsi="Times New Roman" w:hint="eastAsia"/>
          <w:b/>
          <w:sz w:val="30"/>
        </w:rPr>
        <w:t>钱穆故居</w:t>
      </w:r>
    </w:p>
    <w:p w:rsidR="00690234" w:rsidRDefault="00690234" w:rsidP="00690234">
      <w:pPr>
        <w:ind w:firstLineChars="200" w:firstLine="600"/>
        <w:rPr>
          <w:rFonts w:ascii="Times New Roman" w:eastAsia="仿宋_GB2312" w:hAnsi="Times New Roman"/>
          <w:sz w:val="30"/>
        </w:rPr>
      </w:pPr>
      <w:r>
        <w:rPr>
          <w:rFonts w:ascii="Times New Roman" w:eastAsia="仿宋_GB2312" w:hAnsi="Times New Roman" w:hint="eastAsia"/>
          <w:sz w:val="30"/>
        </w:rPr>
        <w:t>钱穆</w:t>
      </w:r>
      <w:r w:rsidRPr="00AD7F5D">
        <w:rPr>
          <w:rFonts w:ascii="Times New Roman" w:eastAsia="仿宋_GB2312" w:hAnsi="Times New Roman"/>
          <w:sz w:val="30"/>
        </w:rPr>
        <w:t>(1895-1990</w:t>
      </w:r>
      <w:r>
        <w:rPr>
          <w:rFonts w:ascii="Times New Roman" w:eastAsia="仿宋_GB2312" w:hAnsi="Times New Roman" w:hint="eastAsia"/>
          <w:sz w:val="30"/>
        </w:rPr>
        <w:t>)</w:t>
      </w:r>
      <w:r w:rsidRPr="00AD7F5D">
        <w:rPr>
          <w:rFonts w:ascii="Times New Roman" w:eastAsia="仿宋_GB2312" w:hAnsi="Times New Roman"/>
          <w:sz w:val="30"/>
        </w:rPr>
        <w:t>，字宾四</w:t>
      </w:r>
      <w:r>
        <w:rPr>
          <w:rFonts w:ascii="Times New Roman" w:eastAsia="仿宋_GB2312" w:hAnsi="Times New Roman" w:hint="eastAsia"/>
          <w:sz w:val="30"/>
        </w:rPr>
        <w:t>，江苏无锡人。钱穆先生是中国近现代史上伟大的历史学家和思想文化巨匠。在近代猛烈批判中国传统文化的思潮中，钱穆卓然不群，以其深厚的史学功底与敏锐的思想洞见，对中国传统文化的特征与现代意义作了典型性地阐释。他的《论语新解》《先秦诸子系年》《两汉经学平议》《朱子新学案》《中国近三百年学术史》《中国历代政治得失》《政学私言》等著作于胡适、冯友兰等中国哲学学者及熊十力、牟宗三、徐复观、唐君毅等现代新儒家之外自成一家，系统地阐述了中国思想与中国人伦理生活的特点，揭示中国传统的政教关系，纠正近代以来对中国历史文化的不实之辞。尤其是他在抗战期间所著的</w:t>
      </w:r>
      <w:r>
        <w:rPr>
          <w:rFonts w:ascii="Times New Roman" w:eastAsia="仿宋_GB2312" w:hAnsi="Times New Roman" w:hint="eastAsia"/>
          <w:sz w:val="30"/>
        </w:rPr>
        <w:lastRenderedPageBreak/>
        <w:t>《国史大纲》坚定中国人的文化自信，激扬爱国情怀，鼓舞国人抗战的勇气和信心。钱穆先生不仅学术贡献巨大，创办新亚书院，指导和培养了余时英、严耕望、钱临照、邓广铭、胡厚宣、杨向奎、何兹全、张政烺等历史大家，在中国教育界的功绩也足以名垂青史。</w:t>
      </w:r>
    </w:p>
    <w:p w:rsidR="00690234" w:rsidRDefault="00690234" w:rsidP="00690234">
      <w:pPr>
        <w:ind w:firstLineChars="200" w:firstLine="600"/>
        <w:rPr>
          <w:rFonts w:ascii="Times New Roman" w:eastAsia="仿宋_GB2312" w:hAnsi="Times New Roman"/>
          <w:sz w:val="30"/>
        </w:rPr>
      </w:pPr>
      <w:r>
        <w:rPr>
          <w:rFonts w:ascii="Times New Roman" w:eastAsia="仿宋_GB2312" w:hAnsi="Times New Roman" w:hint="eastAsia"/>
          <w:sz w:val="30"/>
        </w:rPr>
        <w:t>钱穆先生早年因父亲去世得早，兄弟众多，生活艰难，依靠钱氏义庄的家族接济。其不屈于困顿的成长经历、自学成才的毅力、儒家士人的担当精神和博大精深的学术思想，在钱穆故居纪念馆中皆有体现，皆值得走访学习。</w:t>
      </w:r>
    </w:p>
    <w:p w:rsidR="00690234" w:rsidRDefault="00690234" w:rsidP="00690234">
      <w:pPr>
        <w:ind w:firstLineChars="200" w:firstLine="600"/>
        <w:rPr>
          <w:rFonts w:ascii="Times New Roman" w:eastAsia="仿宋_GB2312" w:hAnsi="Times New Roman"/>
          <w:sz w:val="30"/>
        </w:rPr>
      </w:pPr>
      <w:r>
        <w:rPr>
          <w:rFonts w:ascii="Times New Roman" w:eastAsia="仿宋_GB2312" w:hAnsi="Times New Roman" w:hint="eastAsia"/>
          <w:sz w:val="30"/>
        </w:rPr>
        <w:t>钱基博、钱钟书父子俱为现代中国文化大家。钱基博</w:t>
      </w:r>
      <w:r w:rsidRPr="002610D6">
        <w:rPr>
          <w:rFonts w:ascii="Times New Roman" w:eastAsia="仿宋_GB2312" w:hAnsi="Times New Roman"/>
          <w:sz w:val="30"/>
        </w:rPr>
        <w:t>(1887-1957)</w:t>
      </w:r>
      <w:r w:rsidRPr="002610D6">
        <w:rPr>
          <w:rFonts w:ascii="Times New Roman" w:eastAsia="仿宋_GB2312" w:hAnsi="Times New Roman"/>
          <w:sz w:val="30"/>
        </w:rPr>
        <w:t>，字子泉，</w:t>
      </w:r>
      <w:r>
        <w:rPr>
          <w:rFonts w:ascii="Times New Roman" w:eastAsia="仿宋_GB2312" w:hAnsi="Times New Roman"/>
          <w:sz w:val="30"/>
        </w:rPr>
        <w:t>江苏无锡人，</w:t>
      </w:r>
      <w:r>
        <w:rPr>
          <w:rFonts w:ascii="Times New Roman" w:eastAsia="仿宋_GB2312" w:hAnsi="Times New Roman" w:hint="eastAsia"/>
          <w:sz w:val="30"/>
        </w:rPr>
        <w:t>文史大家。著有</w:t>
      </w:r>
      <w:r w:rsidRPr="002610D6">
        <w:rPr>
          <w:rFonts w:ascii="Times New Roman" w:eastAsia="仿宋_GB2312" w:hAnsi="Times New Roman" w:hint="eastAsia"/>
          <w:sz w:val="30"/>
        </w:rPr>
        <w:t>《经学通志》《韩愈志》《读庄子天下篇疏记》、《文心雕龙校读记》、《版本通义》、《骈文通义》</w:t>
      </w:r>
      <w:r>
        <w:rPr>
          <w:rFonts w:ascii="Times New Roman" w:eastAsia="仿宋_GB2312" w:hAnsi="Times New Roman" w:hint="eastAsia"/>
          <w:sz w:val="30"/>
        </w:rPr>
        <w:t>《明代文学》</w:t>
      </w:r>
      <w:r w:rsidRPr="002610D6">
        <w:rPr>
          <w:rFonts w:ascii="Times New Roman" w:eastAsia="仿宋_GB2312" w:hAnsi="Times New Roman" w:hint="eastAsia"/>
          <w:sz w:val="30"/>
        </w:rPr>
        <w:t>《四书解题及其读法》《文史通义解题及其读法》《周易解题及其读法》《老子解题及其读法》《孙子章句训义》等。</w:t>
      </w:r>
    </w:p>
    <w:p w:rsidR="0071014B" w:rsidRPr="0071014B" w:rsidRDefault="0071014B" w:rsidP="0071014B">
      <w:pPr>
        <w:rPr>
          <w:rFonts w:ascii="Times New Roman" w:eastAsia="仿宋_GB2312" w:hAnsi="Times New Roman"/>
          <w:b/>
          <w:sz w:val="30"/>
        </w:rPr>
      </w:pPr>
      <w:r>
        <w:rPr>
          <w:rFonts w:ascii="Times New Roman" w:eastAsia="仿宋_GB2312" w:hAnsi="Times New Roman" w:hint="eastAsia"/>
          <w:b/>
          <w:sz w:val="30"/>
        </w:rPr>
        <w:t>钱钟书故居</w:t>
      </w:r>
    </w:p>
    <w:p w:rsidR="00690234" w:rsidRDefault="00690234" w:rsidP="00690234">
      <w:pPr>
        <w:ind w:firstLineChars="200" w:firstLine="600"/>
        <w:rPr>
          <w:rFonts w:ascii="Times New Roman" w:eastAsia="仿宋_GB2312" w:hAnsi="Times New Roman"/>
          <w:sz w:val="30"/>
        </w:rPr>
      </w:pPr>
      <w:r w:rsidRPr="002610D6">
        <w:rPr>
          <w:rFonts w:ascii="Times New Roman" w:eastAsia="仿宋_GB2312" w:hAnsi="Times New Roman" w:hint="eastAsia"/>
          <w:sz w:val="30"/>
        </w:rPr>
        <w:t>钱钟书（</w:t>
      </w:r>
      <w:r w:rsidRPr="002610D6">
        <w:rPr>
          <w:rFonts w:ascii="Times New Roman" w:eastAsia="仿宋_GB2312" w:hAnsi="Times New Roman"/>
          <w:sz w:val="30"/>
        </w:rPr>
        <w:t>1910 -1998</w:t>
      </w:r>
      <w:r w:rsidRPr="002610D6">
        <w:rPr>
          <w:rFonts w:ascii="Times New Roman" w:eastAsia="仿宋_GB2312" w:hAnsi="Times New Roman"/>
          <w:sz w:val="30"/>
        </w:rPr>
        <w:t>），中国现代</w:t>
      </w:r>
      <w:r>
        <w:rPr>
          <w:rFonts w:ascii="Times New Roman" w:eastAsia="仿宋_GB2312" w:hAnsi="Times New Roman" w:hint="eastAsia"/>
          <w:sz w:val="30"/>
        </w:rPr>
        <w:t>著名</w:t>
      </w:r>
      <w:r w:rsidRPr="002610D6">
        <w:rPr>
          <w:rFonts w:ascii="Times New Roman" w:eastAsia="仿宋_GB2312" w:hAnsi="Times New Roman"/>
          <w:sz w:val="30"/>
        </w:rPr>
        <w:t>作家、文学家</w:t>
      </w:r>
      <w:r>
        <w:rPr>
          <w:rFonts w:ascii="Times New Roman" w:eastAsia="仿宋_GB2312" w:hAnsi="Times New Roman" w:hint="eastAsia"/>
          <w:sz w:val="30"/>
        </w:rPr>
        <w:t>，著有《管锥篇》《谈艺录》《宋诗选注》《宋诗纪事补正》《七缀集》《槐聚诗存》《围城》等，在文学创作和文艺研究上都取得了极高的成就。</w:t>
      </w:r>
    </w:p>
    <w:p w:rsidR="00690234" w:rsidRDefault="00690234" w:rsidP="00690234">
      <w:pPr>
        <w:ind w:firstLineChars="200" w:firstLine="600"/>
        <w:rPr>
          <w:rFonts w:ascii="Times New Roman" w:eastAsia="仿宋_GB2312" w:hAnsi="Times New Roman"/>
          <w:sz w:val="30"/>
        </w:rPr>
      </w:pPr>
      <w:r>
        <w:rPr>
          <w:rFonts w:ascii="Times New Roman" w:eastAsia="仿宋_GB2312" w:hAnsi="Times New Roman" w:hint="eastAsia"/>
          <w:sz w:val="30"/>
        </w:rPr>
        <w:t>钱钟书故居保存和复原了钱钟书少年时代的成长经历，尤其是其父钱博基先生的读书、国学研究以及对钱钟书的教导。钱氏父子淡薄名利，以学术为志业，为研究和丰富中国文化作出了重</w:t>
      </w:r>
      <w:r>
        <w:rPr>
          <w:rFonts w:ascii="Times New Roman" w:eastAsia="仿宋_GB2312" w:hAnsi="Times New Roman" w:hint="eastAsia"/>
          <w:sz w:val="30"/>
        </w:rPr>
        <w:lastRenderedPageBreak/>
        <w:t>大贡献，参观钱钟书故书将再现中国传统书香门第的教育理念与教育实践，同时老师将讲解其内涵，使同学们对中国传统的文化与教育有现场的观感和真切的体会，深度把握钱钟书文艺成就背后的中国文化基础。</w:t>
      </w:r>
    </w:p>
    <w:p w:rsidR="0071014B" w:rsidRPr="0071014B" w:rsidRDefault="0071014B" w:rsidP="0071014B">
      <w:pPr>
        <w:rPr>
          <w:rFonts w:ascii="Times New Roman" w:eastAsia="仿宋_GB2312" w:hAnsi="Times New Roman"/>
          <w:b/>
          <w:sz w:val="30"/>
        </w:rPr>
      </w:pPr>
      <w:r>
        <w:rPr>
          <w:rFonts w:ascii="Times New Roman" w:eastAsia="仿宋_GB2312" w:hAnsi="Times New Roman" w:hint="eastAsia"/>
          <w:b/>
          <w:sz w:val="30"/>
        </w:rPr>
        <w:t>言子墓</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言子为孔子弟子“七十二贤”之一，名偃，字子游，孔子三千弟子中唯一的南方人，被列为“七十二贤”之一，又称为“十哲人中第九人”。言子死后就葬在常熟虞山脚下名言子墓，始建于宋，重建于元，明成化二十二年（</w:t>
      </w:r>
      <w:r w:rsidRPr="00B55DBA">
        <w:rPr>
          <w:rFonts w:ascii="Times New Roman" w:eastAsia="仿宋_GB2312" w:hAnsi="Times New Roman"/>
          <w:sz w:val="30"/>
        </w:rPr>
        <w:t>1486</w:t>
      </w:r>
      <w:r w:rsidRPr="00B55DBA">
        <w:rPr>
          <w:rFonts w:ascii="Times New Roman" w:eastAsia="仿宋_GB2312" w:hAnsi="Times New Roman"/>
          <w:sz w:val="30"/>
        </w:rPr>
        <w:t>年）从明伦堂北移建于文庙东，以后经康熙、乾隆、同治等朝代修葺。</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言偃出生于吴地，成年后到鲁国就学于孔子，从言偃比孔子年轻四十五岁来看，他当是孔子晚年的学生。他擅长文学，曾任鲁国武城宰，阐扬孔子学说，用礼乐教育士民，境内到处有弦歌之声，为孔子所称赞。常熟言子墓、言子祠，以及各处与言子有关的名胜古迹，彰显儒家文化在江南的渊源广远，结合明清时期的名人古迹，可以体会儒学在江南士人群体中的流行迁转、及其在历史文化广博易良中发挥的作用。</w:t>
      </w:r>
    </w:p>
    <w:p w:rsidR="0071014B" w:rsidRPr="0071014B" w:rsidRDefault="00B55DBA" w:rsidP="0071014B">
      <w:pPr>
        <w:rPr>
          <w:rFonts w:ascii="Times New Roman" w:eastAsia="仿宋_GB2312" w:hAnsi="Times New Roman"/>
          <w:b/>
          <w:sz w:val="30"/>
        </w:rPr>
      </w:pPr>
      <w:r w:rsidRPr="0071014B">
        <w:rPr>
          <w:rFonts w:ascii="Times New Roman" w:eastAsia="仿宋_GB2312" w:hAnsi="Times New Roman" w:hint="eastAsia"/>
          <w:b/>
          <w:sz w:val="30"/>
        </w:rPr>
        <w:t>仲雍墓</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后稷传人</w:t>
      </w:r>
      <w:r w:rsidRPr="00B55DBA">
        <w:rPr>
          <w:rFonts w:ascii="微软雅黑" w:eastAsia="微软雅黑" w:hAnsi="微软雅黑" w:cs="微软雅黑" w:hint="eastAsia"/>
          <w:sz w:val="30"/>
        </w:rPr>
        <w:t>亶</w:t>
      </w:r>
      <w:r w:rsidRPr="00B55DBA">
        <w:rPr>
          <w:rFonts w:ascii="仿宋_GB2312" w:eastAsia="仿宋_GB2312" w:hAnsi="仿宋_GB2312" w:cs="仿宋_GB2312" w:hint="eastAsia"/>
          <w:sz w:val="30"/>
        </w:rPr>
        <w:t>父有三个儿子，长子泰伯，次子仲雍，三子季历。泰伯、仲雍遵从父亲欲将王位传给三子的意志，以去江南采药为名，断发文身建立了勾吴国。泰伯作为国王，建都无锡，仲雍来到常熟。泰伯去世后，由仲雍接任勾吴王。据范成大考证，仲雍</w:t>
      </w:r>
      <w:r w:rsidRPr="00B55DBA">
        <w:rPr>
          <w:rFonts w:ascii="仿宋_GB2312" w:eastAsia="仿宋_GB2312" w:hAnsi="仿宋_GB2312" w:cs="仿宋_GB2312" w:hint="eastAsia"/>
          <w:sz w:val="30"/>
        </w:rPr>
        <w:lastRenderedPageBreak/>
        <w:t>是周章弟虞仲的始祖，周武王灭商后，封虞仲为吴王，封地叫做“虞”，虞仲也就是“吴国第一君”。于是虞仲的封国“虞”就被冠于其始祖仲雍之前，所以仲雍又称虞仲。</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仲雍墓、或虞仲墓具有重大的思想史意义。泰伯、仲雍兄弟的相让相亲，堪比伯夷、叔齐的让国事例。夷齐之让成就了中国哲学史上圣贤典范，孟子称伯夷为“圣之清者”，与伊尹、柳下惠、孔子并列圣贤，宋明儒家也将夷齐之举推为道学价值的至尊。泰伯、仲雍作为吴国始祖，为江南学术奠定了正本清源的基础。孔子赞之：“泰伯，其可谓至德也已矣！三以天下让，民无得而称焉。”（《论语</w:t>
      </w:r>
      <w:r w:rsidRPr="00B55DBA">
        <w:rPr>
          <w:rFonts w:ascii="微软雅黑" w:eastAsia="微软雅黑" w:hAnsi="微软雅黑" w:cs="微软雅黑" w:hint="eastAsia"/>
          <w:sz w:val="30"/>
        </w:rPr>
        <w:t>∙</w:t>
      </w:r>
      <w:r w:rsidRPr="00B55DBA">
        <w:rPr>
          <w:rFonts w:ascii="Times New Roman" w:eastAsia="仿宋_GB2312" w:hAnsi="Times New Roman"/>
          <w:sz w:val="30"/>
        </w:rPr>
        <w:t>泰伯》）《史记》把泰伯创立的吴国</w:t>
      </w:r>
      <w:r w:rsidRPr="00B55DBA">
        <w:rPr>
          <w:rFonts w:ascii="Times New Roman" w:eastAsia="仿宋_GB2312" w:hAnsi="Times New Roman"/>
          <w:sz w:val="30"/>
        </w:rPr>
        <w:t>“</w:t>
      </w:r>
      <w:r w:rsidRPr="00B55DBA">
        <w:rPr>
          <w:rFonts w:ascii="Times New Roman" w:eastAsia="仿宋_GB2312" w:hAnsi="Times New Roman"/>
          <w:sz w:val="30"/>
        </w:rPr>
        <w:t>世家</w:t>
      </w:r>
      <w:r w:rsidRPr="00B55DBA">
        <w:rPr>
          <w:rFonts w:ascii="Times New Roman" w:eastAsia="仿宋_GB2312" w:hAnsi="Times New Roman"/>
          <w:sz w:val="30"/>
        </w:rPr>
        <w:t>”</w:t>
      </w:r>
      <w:r w:rsidRPr="00B55DBA">
        <w:rPr>
          <w:rFonts w:ascii="Times New Roman" w:eastAsia="仿宋_GB2312" w:hAnsi="Times New Roman"/>
          <w:sz w:val="30"/>
        </w:rPr>
        <w:t>列为</w:t>
      </w:r>
      <w:r w:rsidRPr="00B55DBA">
        <w:rPr>
          <w:rFonts w:ascii="Times New Roman" w:eastAsia="仿宋_GB2312" w:hAnsi="Times New Roman"/>
          <w:sz w:val="30"/>
        </w:rPr>
        <w:t>“</w:t>
      </w:r>
      <w:r w:rsidRPr="00B55DBA">
        <w:rPr>
          <w:rFonts w:ascii="Times New Roman" w:eastAsia="仿宋_GB2312" w:hAnsi="Times New Roman"/>
          <w:sz w:val="30"/>
        </w:rPr>
        <w:t>世家第一</w:t>
      </w:r>
      <w:r w:rsidRPr="00B55DBA">
        <w:rPr>
          <w:rFonts w:ascii="Times New Roman" w:eastAsia="仿宋_GB2312" w:hAnsi="Times New Roman"/>
          <w:sz w:val="30"/>
        </w:rPr>
        <w:t>”</w:t>
      </w:r>
      <w:r w:rsidRPr="00B55DBA">
        <w:rPr>
          <w:rFonts w:ascii="Times New Roman" w:eastAsia="仿宋_GB2312" w:hAnsi="Times New Roman"/>
          <w:sz w:val="30"/>
        </w:rPr>
        <w:t>。历代君王对泰伯都一再予以褒奖尊崇。范仲淹曾以《泰伯庙》诗赞之：</w:t>
      </w:r>
      <w:r w:rsidRPr="00B55DBA">
        <w:rPr>
          <w:rFonts w:ascii="Times New Roman" w:eastAsia="仿宋_GB2312" w:hAnsi="Times New Roman"/>
          <w:sz w:val="30"/>
        </w:rPr>
        <w:t>“</w:t>
      </w:r>
      <w:r w:rsidRPr="00B55DBA">
        <w:rPr>
          <w:rFonts w:ascii="Times New Roman" w:eastAsia="仿宋_GB2312" w:hAnsi="Times New Roman"/>
          <w:sz w:val="30"/>
        </w:rPr>
        <w:t>至德本无名，宣尼以批评。能将天下让，知</w:t>
      </w:r>
      <w:r w:rsidRPr="00B55DBA">
        <w:rPr>
          <w:rFonts w:ascii="Times New Roman" w:eastAsia="仿宋_GB2312" w:hAnsi="Times New Roman" w:hint="eastAsia"/>
          <w:sz w:val="30"/>
        </w:rPr>
        <w:t>有圣人生。”</w:t>
      </w:r>
    </w:p>
    <w:p w:rsidR="0071014B" w:rsidRPr="0071014B" w:rsidRDefault="00B55DBA" w:rsidP="0071014B">
      <w:pPr>
        <w:rPr>
          <w:rFonts w:ascii="Times New Roman" w:eastAsia="仿宋_GB2312" w:hAnsi="Times New Roman"/>
          <w:b/>
          <w:sz w:val="30"/>
        </w:rPr>
      </w:pPr>
      <w:r w:rsidRPr="0071014B">
        <w:rPr>
          <w:rFonts w:ascii="Times New Roman" w:eastAsia="仿宋_GB2312" w:hAnsi="Times New Roman" w:hint="eastAsia"/>
          <w:b/>
          <w:sz w:val="30"/>
        </w:rPr>
        <w:t>王鳌故居</w:t>
      </w:r>
      <w:r w:rsidR="006446EA">
        <w:rPr>
          <w:rFonts w:ascii="Times New Roman" w:eastAsia="仿宋_GB2312" w:hAnsi="Times New Roman" w:hint="eastAsia"/>
          <w:b/>
          <w:sz w:val="30"/>
        </w:rPr>
        <w:t>、</w:t>
      </w:r>
      <w:r w:rsidR="006446EA" w:rsidRPr="006446EA">
        <w:rPr>
          <w:rFonts w:ascii="Times New Roman" w:eastAsia="仿宋_GB2312" w:hAnsi="Times New Roman" w:hint="eastAsia"/>
          <w:b/>
          <w:sz w:val="30"/>
        </w:rPr>
        <w:t>唐寅故居</w:t>
      </w:r>
      <w:bookmarkStart w:id="0" w:name="_GoBack"/>
      <w:bookmarkEnd w:id="0"/>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位于苏州后山太湖边的陆巷，伸入太湖中的东山半岛西侧。是目前江南建筑群体中质量最高、数量最多、保存最完好的古村落。陆巷古村是明代正德年间宰相王鏊的故里，是全国首批历史文化名村，被誉为“太湖第一古村”。王鳌是江南四大才子唐伯虎的老师，由于其母姓陆，他所居住的村子传为陆巷村。</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陆巷古村有一处原明代隐士王铨的住宅“遂高堂”。“遂高堂”始建于明代弘治年间，是王铨的故居，也是陆巷最古老的明代古建筑。王铨，字秉之，东山人，是明朝宰相王鏊胞弟。曾被选为</w:t>
      </w:r>
      <w:r w:rsidRPr="00B55DBA">
        <w:rPr>
          <w:rFonts w:ascii="Times New Roman" w:eastAsia="仿宋_GB2312" w:hAnsi="Times New Roman" w:hint="eastAsia"/>
          <w:sz w:val="30"/>
        </w:rPr>
        <w:lastRenderedPageBreak/>
        <w:t>杭州府经历，但他不愿做官，不去赴任。时其兄王鏊在京任职致词给他，其中有“输与伊人一着高”之句，遂将第宅命名为遂高堂。后被布置成“洞庭商帮博物馆”。洞庭商帮是活跃于明清时期的商人集团，又称“洞庭帮”、“洞庭山帮”、“钻天洞庭帮”，是“苏商”的主体。明清时，“洞庭帮”以资本雄厚，地域广阔，经营灵活而成为“徽商”有力的竞争对手。王铨一生对仕途毫无兴趣，而以经商致富，是“洞庭商帮”的领军人物。洞庭，是指苏州太湖流域的东、西两山区域，洞庭商帮，是中国历史上的十大商帮之一，而洞庭商人，即苏州商人的代表。</w:t>
      </w:r>
      <w:r w:rsidRPr="00B55DBA">
        <w:rPr>
          <w:rFonts w:ascii="Times New Roman" w:eastAsia="仿宋_GB2312" w:hAnsi="Times New Roman"/>
          <w:sz w:val="30"/>
        </w:rPr>
        <w:t xml:space="preserve"> </w:t>
      </w:r>
    </w:p>
    <w:p w:rsidR="00B55DBA"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现在的“遂高堂”已被改建为洞庭商帮陈列馆，从中可以观摩江南洞庭商帮的兴盛史，体会儒家思想在商业伦理上的特有展现。明清之际的儒家商业伦理是当今一大学术领域，受到宋明理学、尤其是阳明后学的影响，士商融合成为江南儒家文化的特质。从商帮、行会的发展史中可见，宋明理学在晚期不但出现了堪比韦伯“理想型”的商业伦理范式，并且与血缘以及地缘传统相结合，成就了政治、商业、法律、伦理一脉贯通的思想文化体系。</w:t>
      </w:r>
    </w:p>
    <w:p w:rsidR="0071014B" w:rsidRPr="0071014B" w:rsidRDefault="0071014B" w:rsidP="0071014B">
      <w:pPr>
        <w:rPr>
          <w:rFonts w:ascii="Times New Roman" w:eastAsia="仿宋_GB2312" w:hAnsi="Times New Roman"/>
          <w:b/>
          <w:sz w:val="30"/>
        </w:rPr>
      </w:pPr>
      <w:r w:rsidRPr="0071014B">
        <w:rPr>
          <w:rFonts w:ascii="Times New Roman" w:eastAsia="仿宋_GB2312" w:hAnsi="Times New Roman" w:hint="eastAsia"/>
          <w:b/>
          <w:sz w:val="30"/>
        </w:rPr>
        <w:t>苏州博物馆</w:t>
      </w:r>
      <w:r w:rsidR="006446EA">
        <w:rPr>
          <w:rFonts w:ascii="Times New Roman" w:eastAsia="仿宋_GB2312" w:hAnsi="Times New Roman" w:hint="eastAsia"/>
          <w:b/>
          <w:sz w:val="30"/>
        </w:rPr>
        <w:t>、</w:t>
      </w:r>
      <w:r w:rsidR="006446EA" w:rsidRPr="006446EA">
        <w:rPr>
          <w:rFonts w:ascii="Times New Roman" w:eastAsia="仿宋_GB2312" w:hAnsi="Times New Roman" w:hint="eastAsia"/>
          <w:b/>
          <w:sz w:val="30"/>
        </w:rPr>
        <w:t>忠王府博物馆</w:t>
      </w:r>
    </w:p>
    <w:p w:rsid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苏州博物馆与忠王府毗邻，领略博物馆吴韵藏品与建筑美学的品鉴之后，可以饱览忠王府百年隽秀的梁枋彩绘、生动壁画以及精细的龙凤纹窗格等艺术精品。太平天国是一段很值得去探寻的历史，它不仅加速了清政府的瓦解，也反映了人民对外国侵略者的抵抗，基督教教义的广泛传播，以及资本主义思维在中国的</w:t>
      </w:r>
      <w:r w:rsidRPr="00B55DBA">
        <w:rPr>
          <w:rFonts w:ascii="Times New Roman" w:eastAsia="仿宋_GB2312" w:hAnsi="Times New Roman" w:hint="eastAsia"/>
          <w:sz w:val="30"/>
        </w:rPr>
        <w:lastRenderedPageBreak/>
        <w:t>蔓延。从天平天国的历史中，可以近距离品读近代思想史的发生语境。太平天国援用基督教义改塑为融合宗教、经济、军事政治为一体的革命思想，对儒家传统造成强烈冲击，从中可以梳理儒墨并流中发生与发展的近代思想萌芽，同时可以联系戊戌变法、改良维新予以前后相贯的思考。</w:t>
      </w:r>
    </w:p>
    <w:p w:rsidR="0071014B" w:rsidRPr="0071014B" w:rsidRDefault="0071014B" w:rsidP="0071014B">
      <w:pPr>
        <w:rPr>
          <w:rFonts w:ascii="Times New Roman" w:eastAsia="仿宋_GB2312" w:hAnsi="Times New Roman"/>
          <w:b/>
          <w:sz w:val="30"/>
        </w:rPr>
      </w:pPr>
      <w:r w:rsidRPr="0071014B">
        <w:rPr>
          <w:rFonts w:ascii="Times New Roman" w:eastAsia="仿宋_GB2312" w:hAnsi="Times New Roman" w:hint="eastAsia"/>
          <w:b/>
          <w:sz w:val="30"/>
        </w:rPr>
        <w:t>留园</w:t>
      </w:r>
    </w:p>
    <w:p w:rsidR="00690234" w:rsidRPr="00B55DBA" w:rsidRDefault="00B55DBA" w:rsidP="00B55DBA">
      <w:pPr>
        <w:ind w:firstLineChars="200" w:firstLine="600"/>
        <w:rPr>
          <w:rFonts w:ascii="Times New Roman" w:eastAsia="仿宋_GB2312" w:hAnsi="Times New Roman"/>
          <w:sz w:val="30"/>
        </w:rPr>
      </w:pPr>
      <w:r w:rsidRPr="00B55DBA">
        <w:rPr>
          <w:rFonts w:ascii="Times New Roman" w:eastAsia="仿宋_GB2312" w:hAnsi="Times New Roman" w:hint="eastAsia"/>
          <w:sz w:val="30"/>
        </w:rPr>
        <w:t>留园是苏州园林美学的极佳典范。园林美的意境依赖于物质生态建构序列和精神生态建构序列两者的之间的相辅相成，二者相生相发的关联近似“格式塔”心理学在“情”与“景”相互感发上的表述。接近与领会园林美学的意境、虚实与空间分割，可以与道家、禅宗的“有无”、“空假”相关相生等思想作一比较。结合中国山水画的留白、光影、明暗等技法，可以将园林美学的空间虚实、心境有无与《周易》阴阳观念作比较，从中体会儒家形而上学与形而下学在审美中的融合，以及儒释道三教的审美汇通。</w:t>
      </w:r>
    </w:p>
    <w:sectPr w:rsidR="00690234" w:rsidRPr="00B55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59" w:rsidRDefault="00604159" w:rsidP="0071014B">
      <w:r>
        <w:separator/>
      </w:r>
    </w:p>
  </w:endnote>
  <w:endnote w:type="continuationSeparator" w:id="0">
    <w:p w:rsidR="00604159" w:rsidRDefault="00604159" w:rsidP="0071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59" w:rsidRDefault="00604159" w:rsidP="0071014B">
      <w:r>
        <w:separator/>
      </w:r>
    </w:p>
  </w:footnote>
  <w:footnote w:type="continuationSeparator" w:id="0">
    <w:p w:rsidR="00604159" w:rsidRDefault="00604159" w:rsidP="0071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34"/>
    <w:rsid w:val="00604159"/>
    <w:rsid w:val="006446EA"/>
    <w:rsid w:val="00690234"/>
    <w:rsid w:val="0071014B"/>
    <w:rsid w:val="00B55DBA"/>
    <w:rsid w:val="00E76B8B"/>
    <w:rsid w:val="00EC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C533"/>
  <w15:chartTrackingRefBased/>
  <w15:docId w15:val="{518EF611-A295-4468-B2AB-D357A01A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14B"/>
    <w:rPr>
      <w:sz w:val="18"/>
      <w:szCs w:val="18"/>
    </w:rPr>
  </w:style>
  <w:style w:type="paragraph" w:styleId="a5">
    <w:name w:val="footer"/>
    <w:basedOn w:val="a"/>
    <w:link w:val="a6"/>
    <w:uiPriority w:val="99"/>
    <w:unhideWhenUsed/>
    <w:rsid w:val="0071014B"/>
    <w:pPr>
      <w:tabs>
        <w:tab w:val="center" w:pos="4153"/>
        <w:tab w:val="right" w:pos="8306"/>
      </w:tabs>
      <w:snapToGrid w:val="0"/>
      <w:jc w:val="left"/>
    </w:pPr>
    <w:rPr>
      <w:sz w:val="18"/>
      <w:szCs w:val="18"/>
    </w:rPr>
  </w:style>
  <w:style w:type="character" w:customStyle="1" w:styleId="a6">
    <w:name w:val="页脚 字符"/>
    <w:basedOn w:val="a0"/>
    <w:link w:val="a5"/>
    <w:uiPriority w:val="99"/>
    <w:rsid w:val="00710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赵珍珍</dc:creator>
  <cp:keywords/>
  <dc:description/>
  <cp:lastModifiedBy>林平</cp:lastModifiedBy>
  <cp:revision>4</cp:revision>
  <dcterms:created xsi:type="dcterms:W3CDTF">2018-06-06T07:29:00Z</dcterms:created>
  <dcterms:modified xsi:type="dcterms:W3CDTF">2018-06-06T09:22:00Z</dcterms:modified>
</cp:coreProperties>
</file>